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FED357" w14:textId="77777777" w:rsidR="0005223D" w:rsidRDefault="007801BF">
      <w:pPr>
        <w:pStyle w:val="Title"/>
        <w:jc w:val="center"/>
      </w:pPr>
      <w:r>
        <w:t>MELANIE B. LESLIE</w:t>
      </w:r>
    </w:p>
    <w:p w14:paraId="17FE6F2C" w14:textId="77777777" w:rsidR="0005223D" w:rsidRDefault="007801BF">
      <w:pPr>
        <w:jc w:val="center"/>
      </w:pPr>
      <w:r>
        <w:rPr>
          <w:b/>
          <w:color w:val="404040"/>
          <w:sz w:val="21"/>
        </w:rPr>
        <w:t>Dean and Dr. Samuel Belkin Professor of Law | Benjamin N. Cardozo School of Law, Yeshiva University</w:t>
      </w:r>
    </w:p>
    <w:p w14:paraId="16FBB82A" w14:textId="77777777" w:rsidR="0005223D" w:rsidRDefault="007801BF">
      <w:pPr>
        <w:pBdr>
          <w:bottom w:val="single" w:sz="8" w:space="4" w:color="B7CCE3"/>
        </w:pBdr>
        <w:jc w:val="center"/>
      </w:pPr>
      <w:r>
        <w:rPr>
          <w:color w:val="595959"/>
        </w:rPr>
        <w:t>New York, NY | deansofficecardozo@yu.edu | (212) 790-0310</w:t>
      </w:r>
    </w:p>
    <w:p w14:paraId="51D4DA2E" w14:textId="77777777" w:rsidR="0005223D" w:rsidRDefault="007801BF">
      <w:pPr>
        <w:pStyle w:val="Heading1"/>
      </w:pPr>
      <w:r>
        <w:t>Executive Profile</w:t>
      </w:r>
    </w:p>
    <w:p w14:paraId="37CAB5ED" w14:textId="33BC27E4" w:rsidR="0005223D" w:rsidRDefault="00EC37CC" w:rsidP="00B060E5">
      <w:r w:rsidRPr="00EC37CC">
        <w:rPr>
          <w:b/>
          <w:bCs/>
        </w:rPr>
        <w:t>Executive academic leader, dean, and legal scholar</w:t>
      </w:r>
      <w:r w:rsidRPr="00EC37CC">
        <w:t xml:space="preserve"> </w:t>
      </w:r>
      <w:r>
        <w:t xml:space="preserve">with </w:t>
      </w:r>
      <w:r w:rsidR="00BF660F">
        <w:t xml:space="preserve">31 </w:t>
      </w:r>
      <w:r>
        <w:t xml:space="preserve">years of faculty and administrative experience and more than a decade </w:t>
      </w:r>
      <w:r w:rsidRPr="00EC37CC">
        <w:t>leading</w:t>
      </w:r>
      <w:r>
        <w:t xml:space="preserve"> the Benjamin N. Cardozo School of Law</w:t>
      </w:r>
      <w:r w:rsidR="00BF660F">
        <w:t xml:space="preserve"> as dean</w:t>
      </w:r>
      <w:r>
        <w:t xml:space="preserve">. </w:t>
      </w:r>
      <w:r w:rsidR="001069DB">
        <w:t xml:space="preserve">Led a sustained period of institutional growth marked by strengthened student outcomes, expanded philanthropic support, enhanced national reputation, and continued investment in academic excellence. </w:t>
      </w:r>
      <w:r>
        <w:t xml:space="preserve">First Cardozo Law graduate and first woman to serve as dean. </w:t>
      </w:r>
    </w:p>
    <w:p w14:paraId="541CFC3F" w14:textId="77777777" w:rsidR="0005223D" w:rsidRDefault="00551602" w:rsidP="00551602">
      <w:pPr>
        <w:pStyle w:val="Heading1"/>
      </w:pPr>
      <w:r w:rsidRPr="00551602">
        <w:t>Executive Leadership Impact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9"/>
        <w:gridCol w:w="7945"/>
      </w:tblGrid>
      <w:tr w:rsidR="00056401" w14:paraId="6DCFA4C6" w14:textId="77777777">
        <w:tc>
          <w:tcPr>
            <w:tcW w:w="1200" w:type="pct"/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5EE83" w14:textId="77777777" w:rsidR="00056401" w:rsidRDefault="00056401">
            <w:pPr>
              <w:rPr>
                <w:kern w:val="2"/>
                <w:szCs w:val="19"/>
                <w:lang w:bidi="he-IL"/>
                <w14:ligatures w14:val="standardContextual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Area</w:t>
            </w:r>
          </w:p>
        </w:tc>
        <w:tc>
          <w:tcPr>
            <w:tcW w:w="3800" w:type="pct"/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BFE17" w14:textId="77777777" w:rsidR="00056401" w:rsidRDefault="00056401">
            <w:r>
              <w:rPr>
                <w:b/>
                <w:bCs/>
                <w:color w:val="FFFFFF"/>
                <w:sz w:val="18"/>
                <w:szCs w:val="18"/>
              </w:rPr>
              <w:t>Impact</w:t>
            </w:r>
          </w:p>
        </w:tc>
      </w:tr>
      <w:tr w:rsidR="00056401" w14:paraId="2E9B989B" w14:textId="77777777">
        <w:tc>
          <w:tcPr>
            <w:tcW w:w="12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F139C3" w14:textId="74DB40D8" w:rsidR="00056401" w:rsidRDefault="00016249" w:rsidP="00016249">
            <w:r w:rsidRPr="00016249">
              <w:rPr>
                <w:b/>
                <w:bCs/>
                <w:color w:val="1F4E79"/>
                <w:sz w:val="18"/>
                <w:szCs w:val="18"/>
              </w:rPr>
              <w:t>Enterprise</w:t>
            </w:r>
            <w:r>
              <w:rPr>
                <w:b/>
                <w:bCs/>
                <w:color w:val="1F4E79"/>
                <w:sz w:val="18"/>
                <w:szCs w:val="18"/>
              </w:rPr>
              <w:t xml:space="preserve"> leadership</w:t>
            </w:r>
          </w:p>
        </w:tc>
        <w:tc>
          <w:tcPr>
            <w:tcW w:w="38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05A6364" w14:textId="77777777" w:rsidR="00454D08" w:rsidRDefault="00000000" w:rsidP="003E02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Serves as </w:t>
            </w:r>
            <w:r w:rsidR="00BF660F">
              <w:rPr>
                <w:sz w:val="18"/>
                <w:szCs w:val="18"/>
              </w:rPr>
              <w:t xml:space="preserve">dean </w:t>
            </w:r>
            <w:r>
              <w:rPr>
                <w:sz w:val="18"/>
                <w:szCs w:val="18"/>
              </w:rPr>
              <w:t xml:space="preserve">of a nationally recognized law school, </w:t>
            </w:r>
            <w:r w:rsidR="003E0215" w:rsidRPr="003E0215">
              <w:rPr>
                <w:sz w:val="18"/>
                <w:szCs w:val="18"/>
              </w:rPr>
              <w:t>leading institution-wide</w:t>
            </w:r>
            <w:r>
              <w:rPr>
                <w:sz w:val="18"/>
                <w:szCs w:val="18"/>
              </w:rPr>
              <w:t xml:space="preserve"> strategy</w:t>
            </w:r>
            <w:r w:rsidR="003E0215" w:rsidRPr="003E021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academic affairs, finance and budgeting, operations, accreditation, senior leadership, faculty governance, enrollment strategy, alumni relations, donor engagement, and external affairs.</w:t>
            </w:r>
            <w:r w:rsidR="009F325F">
              <w:rPr>
                <w:sz w:val="18"/>
                <w:szCs w:val="18"/>
              </w:rPr>
              <w:t xml:space="preserve"> </w:t>
            </w:r>
          </w:p>
          <w:p w14:paraId="2E41D52B" w14:textId="4A72C773" w:rsidR="00056401" w:rsidRDefault="001069DB" w:rsidP="003E0215">
            <w:r>
              <w:rPr>
                <w:sz w:val="18"/>
                <w:szCs w:val="18"/>
              </w:rPr>
              <w:t xml:space="preserve">Secured </w:t>
            </w:r>
            <w:r w:rsidR="009F325F">
              <w:rPr>
                <w:sz w:val="18"/>
                <w:szCs w:val="18"/>
              </w:rPr>
              <w:t>University’s</w:t>
            </w:r>
            <w:r>
              <w:rPr>
                <w:sz w:val="18"/>
                <w:szCs w:val="18"/>
              </w:rPr>
              <w:t xml:space="preserve"> support for </w:t>
            </w:r>
            <w:r w:rsidR="009F325F">
              <w:rPr>
                <w:sz w:val="18"/>
                <w:szCs w:val="18"/>
              </w:rPr>
              <w:t xml:space="preserve">2015 strategic plan that resulted in </w:t>
            </w:r>
            <w:r>
              <w:rPr>
                <w:sz w:val="18"/>
                <w:szCs w:val="18"/>
              </w:rPr>
              <w:t xml:space="preserve">strengthening the qualifications of each successive class over an 11-year period, substantial improvements in bar pass and placement rates, and a 23-point improvement in </w:t>
            </w:r>
            <w:r w:rsidR="00CA5AB2">
              <w:rPr>
                <w:sz w:val="18"/>
                <w:szCs w:val="18"/>
              </w:rPr>
              <w:t xml:space="preserve">Cardozo’s </w:t>
            </w:r>
            <w:r>
              <w:rPr>
                <w:sz w:val="18"/>
                <w:szCs w:val="18"/>
              </w:rPr>
              <w:t xml:space="preserve">U.S. News </w:t>
            </w:r>
            <w:r w:rsidR="00CA5AB2">
              <w:rPr>
                <w:sz w:val="18"/>
                <w:szCs w:val="18"/>
              </w:rPr>
              <w:t xml:space="preserve">ranking </w:t>
            </w:r>
            <w:r>
              <w:rPr>
                <w:sz w:val="18"/>
                <w:szCs w:val="18"/>
              </w:rPr>
              <w:t>between 2015 – 2022.</w:t>
            </w:r>
          </w:p>
        </w:tc>
      </w:tr>
      <w:tr w:rsidR="00056401" w14:paraId="2136C42D" w14:textId="77777777">
        <w:tc>
          <w:tcPr>
            <w:tcW w:w="12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3A3ED0" w14:textId="7434A523" w:rsidR="00056401" w:rsidRDefault="00A22134" w:rsidP="00A22134">
            <w:r w:rsidRPr="00A22134">
              <w:rPr>
                <w:b/>
                <w:bCs/>
                <w:color w:val="1F4E79"/>
                <w:sz w:val="18"/>
                <w:szCs w:val="18"/>
              </w:rPr>
              <w:t>Philanthropy</w:t>
            </w:r>
            <w:r>
              <w:rPr>
                <w:b/>
                <w:bCs/>
                <w:color w:val="1F4E79"/>
                <w:sz w:val="18"/>
                <w:szCs w:val="18"/>
              </w:rPr>
              <w:t xml:space="preserve"> and campaign </w:t>
            </w:r>
            <w:r w:rsidRPr="00A22134">
              <w:rPr>
                <w:b/>
                <w:bCs/>
                <w:color w:val="1F4E79"/>
                <w:sz w:val="18"/>
                <w:szCs w:val="18"/>
              </w:rPr>
              <w:t>growth</w:t>
            </w:r>
          </w:p>
        </w:tc>
        <w:tc>
          <w:tcPr>
            <w:tcW w:w="38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88767F" w14:textId="3D28EDE4" w:rsidR="00056401" w:rsidRDefault="00000000" w:rsidP="002046C6">
            <w:r>
              <w:rPr>
                <w:sz w:val="18"/>
                <w:szCs w:val="18"/>
              </w:rPr>
              <w:t xml:space="preserve">Led a </w:t>
            </w:r>
            <w:r w:rsidRPr="00CA5AB2">
              <w:rPr>
                <w:b/>
                <w:bCs/>
                <w:sz w:val="18"/>
                <w:szCs w:val="18"/>
              </w:rPr>
              <w:t>$50 million</w:t>
            </w:r>
            <w:r>
              <w:rPr>
                <w:sz w:val="18"/>
                <w:szCs w:val="18"/>
              </w:rPr>
              <w:t xml:space="preserve"> 50th-anniversary campaign </w:t>
            </w:r>
            <w:r w:rsidR="002046C6" w:rsidRPr="002046C6">
              <w:rPr>
                <w:sz w:val="18"/>
                <w:szCs w:val="18"/>
              </w:rPr>
              <w:t>advancing</w:t>
            </w:r>
            <w:r>
              <w:rPr>
                <w:sz w:val="18"/>
                <w:szCs w:val="18"/>
              </w:rPr>
              <w:t xml:space="preserve"> </w:t>
            </w:r>
            <w:r w:rsidR="00BF660F">
              <w:rPr>
                <w:sz w:val="18"/>
                <w:szCs w:val="18"/>
              </w:rPr>
              <w:t xml:space="preserve">student </w:t>
            </w:r>
            <w:r>
              <w:rPr>
                <w:sz w:val="18"/>
                <w:szCs w:val="18"/>
              </w:rPr>
              <w:t xml:space="preserve">scholarships, faculty excellence, </w:t>
            </w:r>
            <w:r w:rsidR="00BF660F">
              <w:rPr>
                <w:sz w:val="18"/>
                <w:szCs w:val="18"/>
              </w:rPr>
              <w:t xml:space="preserve">clinical </w:t>
            </w:r>
            <w:r>
              <w:rPr>
                <w:sz w:val="18"/>
                <w:szCs w:val="18"/>
              </w:rPr>
              <w:t xml:space="preserve">education, public service, </w:t>
            </w:r>
            <w:r w:rsidR="00BF660F">
              <w:rPr>
                <w:sz w:val="18"/>
                <w:szCs w:val="18"/>
              </w:rPr>
              <w:t xml:space="preserve">career placement </w:t>
            </w:r>
            <w:r>
              <w:rPr>
                <w:sz w:val="18"/>
                <w:szCs w:val="18"/>
              </w:rPr>
              <w:t>and building renovation.</w:t>
            </w:r>
            <w:r w:rsidR="00BF660F">
              <w:rPr>
                <w:sz w:val="18"/>
                <w:szCs w:val="18"/>
              </w:rPr>
              <w:t xml:space="preserve"> Exceeded target by $9 million. </w:t>
            </w:r>
            <w:r w:rsidR="00454D08">
              <w:rPr>
                <w:sz w:val="18"/>
                <w:szCs w:val="18"/>
              </w:rPr>
              <w:t xml:space="preserve">Raised </w:t>
            </w:r>
            <w:r w:rsidR="00454D08" w:rsidRPr="002046C6">
              <w:rPr>
                <w:sz w:val="18"/>
                <w:szCs w:val="18"/>
              </w:rPr>
              <w:t>major</w:t>
            </w:r>
            <w:r w:rsidR="00454D08">
              <w:rPr>
                <w:sz w:val="18"/>
                <w:szCs w:val="18"/>
              </w:rPr>
              <w:t xml:space="preserve"> philanthropic support, including a transformational </w:t>
            </w:r>
            <w:r w:rsidR="00454D08" w:rsidRPr="00CA5AB2">
              <w:rPr>
                <w:b/>
                <w:bCs/>
                <w:sz w:val="18"/>
                <w:szCs w:val="18"/>
              </w:rPr>
              <w:t>$16 million</w:t>
            </w:r>
            <w:r w:rsidR="00454D08">
              <w:rPr>
                <w:sz w:val="18"/>
                <w:szCs w:val="18"/>
              </w:rPr>
              <w:t xml:space="preserve"> gift establishing the Perlmutter Center for Legal Justice and a </w:t>
            </w:r>
            <w:r w:rsidR="00454D08" w:rsidRPr="00454D08">
              <w:rPr>
                <w:b/>
                <w:bCs/>
                <w:sz w:val="18"/>
                <w:szCs w:val="18"/>
              </w:rPr>
              <w:t>$6 million gift</w:t>
            </w:r>
            <w:r w:rsidR="00454D08">
              <w:rPr>
                <w:sz w:val="18"/>
                <w:szCs w:val="18"/>
              </w:rPr>
              <w:t xml:space="preserve"> to renovate and modernize Cardozo’s clinical education facilities. </w:t>
            </w:r>
          </w:p>
        </w:tc>
      </w:tr>
      <w:tr w:rsidR="00A16407" w14:paraId="6DF9D6D6" w14:textId="77777777">
        <w:tc>
          <w:tcPr>
            <w:tcW w:w="12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10A440" w14:textId="15267AE0" w:rsidR="00A16407" w:rsidRDefault="00A16407" w:rsidP="00A16407">
            <w:r>
              <w:rPr>
                <w:b/>
                <w:bCs/>
                <w:color w:val="1F4E79"/>
                <w:sz w:val="18"/>
                <w:szCs w:val="18"/>
              </w:rPr>
              <w:t xml:space="preserve">Student outcomes and </w:t>
            </w:r>
            <w:r w:rsidRPr="005758D7">
              <w:rPr>
                <w:b/>
                <w:bCs/>
                <w:color w:val="1F4E79"/>
                <w:sz w:val="18"/>
                <w:szCs w:val="18"/>
              </w:rPr>
              <w:t>career</w:t>
            </w:r>
            <w:r>
              <w:rPr>
                <w:b/>
                <w:bCs/>
                <w:color w:val="1F4E79"/>
                <w:sz w:val="18"/>
                <w:szCs w:val="18"/>
              </w:rPr>
              <w:t xml:space="preserve"> readiness</w:t>
            </w:r>
          </w:p>
        </w:tc>
        <w:tc>
          <w:tcPr>
            <w:tcW w:w="38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7A040B" w14:textId="0520D4A3" w:rsidR="00A16407" w:rsidRDefault="00A16407" w:rsidP="00A16407">
            <w:r>
              <w:rPr>
                <w:sz w:val="18"/>
                <w:szCs w:val="18"/>
              </w:rPr>
              <w:t xml:space="preserve">Built a bar exam success infrastructure, improving first-time NY bar exam pass rates from </w:t>
            </w:r>
            <w:r w:rsidRPr="00CA5AB2">
              <w:rPr>
                <w:b/>
                <w:bCs/>
                <w:sz w:val="18"/>
                <w:szCs w:val="18"/>
              </w:rPr>
              <w:t xml:space="preserve">78.1% (2015) to 90% (2024 &amp; 2025). </w:t>
            </w:r>
            <w:r>
              <w:rPr>
                <w:sz w:val="18"/>
                <w:szCs w:val="18"/>
              </w:rPr>
              <w:t xml:space="preserve"> Raised $5 million to expand career services team, including adding 3.5 employer outreach specialists, and improved placement in long-term, full-time jobs from </w:t>
            </w:r>
            <w:r w:rsidR="00EF0FA5" w:rsidRPr="00CA5AB2">
              <w:rPr>
                <w:b/>
                <w:bCs/>
                <w:sz w:val="18"/>
                <w:szCs w:val="18"/>
              </w:rPr>
              <w:t xml:space="preserve">66.5% (2015) to 93.5% (2024) &amp; 90.7% (2025). </w:t>
            </w:r>
          </w:p>
        </w:tc>
      </w:tr>
      <w:tr w:rsidR="00A16407" w14:paraId="4795D02E" w14:textId="77777777">
        <w:tc>
          <w:tcPr>
            <w:tcW w:w="12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B3BC77" w14:textId="3DD66095" w:rsidR="00A16407" w:rsidRDefault="00A16407" w:rsidP="00A16407">
            <w:r w:rsidRPr="00EE67A5">
              <w:rPr>
                <w:b/>
                <w:bCs/>
                <w:color w:val="1F4E79"/>
                <w:sz w:val="18"/>
                <w:szCs w:val="18"/>
              </w:rPr>
              <w:t>Strategic program development</w:t>
            </w:r>
          </w:p>
        </w:tc>
        <w:tc>
          <w:tcPr>
            <w:tcW w:w="38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5DAC69" w14:textId="68C17D18" w:rsidR="00454D08" w:rsidRDefault="00A16407" w:rsidP="00A164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Expanded Cardozo’s institutional </w:t>
            </w:r>
            <w:r w:rsidRPr="00F466AA">
              <w:rPr>
                <w:sz w:val="18"/>
                <w:szCs w:val="18"/>
              </w:rPr>
              <w:t>platform</w:t>
            </w:r>
            <w:r>
              <w:rPr>
                <w:sz w:val="18"/>
                <w:szCs w:val="18"/>
              </w:rPr>
              <w:t xml:space="preserve"> through major initiatives including the Perlmutter Center for Legal Justice, Center for Rights and Justice, </w:t>
            </w:r>
            <w:r w:rsidR="00454D08">
              <w:rPr>
                <w:sz w:val="18"/>
                <w:szCs w:val="18"/>
              </w:rPr>
              <w:t xml:space="preserve">the </w:t>
            </w:r>
            <w:r>
              <w:rPr>
                <w:sz w:val="18"/>
                <w:szCs w:val="18"/>
              </w:rPr>
              <w:t xml:space="preserve">FAME Center for fashion, art, media and entertainment law, and the Cardozo Patent Diversity Project. </w:t>
            </w:r>
          </w:p>
          <w:p w14:paraId="6D92ADB6" w14:textId="77777777" w:rsidR="00454D08" w:rsidRDefault="00A16407" w:rsidP="00A16407">
            <w:pPr>
              <w:rPr>
                <w:sz w:val="18"/>
                <w:szCs w:val="18"/>
              </w:rPr>
            </w:pPr>
            <w:r w:rsidRPr="004C6F5B">
              <w:rPr>
                <w:sz w:val="18"/>
                <w:szCs w:val="18"/>
              </w:rPr>
              <w:t xml:space="preserve">Launched Gates Scholarship program, </w:t>
            </w:r>
            <w:r>
              <w:rPr>
                <w:sz w:val="18"/>
                <w:szCs w:val="18"/>
              </w:rPr>
              <w:t xml:space="preserve">which </w:t>
            </w:r>
            <w:r w:rsidRPr="00805646">
              <w:rPr>
                <w:sz w:val="18"/>
                <w:szCs w:val="18"/>
              </w:rPr>
              <w:t>supports first-generation students, those from underrepresented backgrounds, and individuals who have faced major obstacles on their path to law school</w:t>
            </w:r>
            <w:r>
              <w:rPr>
                <w:sz w:val="18"/>
                <w:szCs w:val="18"/>
              </w:rPr>
              <w:t xml:space="preserve">. </w:t>
            </w:r>
          </w:p>
          <w:p w14:paraId="5785C405" w14:textId="77777777" w:rsidR="00A16407" w:rsidRDefault="00A16407" w:rsidP="00A16407">
            <w:pPr>
              <w:rPr>
                <w:color w:val="1F1F1F"/>
                <w:sz w:val="18"/>
                <w:szCs w:val="18"/>
                <w:shd w:val="clear" w:color="auto" w:fill="FFFFFF"/>
              </w:rPr>
            </w:pPr>
            <w:r w:rsidRPr="004C6F5B">
              <w:rPr>
                <w:sz w:val="18"/>
                <w:szCs w:val="18"/>
              </w:rPr>
              <w:t>Created the Harold Stevens Visiting Assistant Professorship</w:t>
            </w:r>
            <w:r>
              <w:rPr>
                <w:sz w:val="18"/>
                <w:szCs w:val="18"/>
              </w:rPr>
              <w:t xml:space="preserve"> to enable </w:t>
            </w:r>
            <w:r w:rsidRPr="00805646">
              <w:rPr>
                <w:color w:val="1F1F1F"/>
                <w:sz w:val="18"/>
                <w:szCs w:val="18"/>
                <w:shd w:val="clear" w:color="auto" w:fill="FFFFFF"/>
              </w:rPr>
              <w:t>individuals with talent and passion for teaching and scholarship, but who may lack the elite background and mentoring opportunities that traditional candidates for the academy often possess</w:t>
            </w:r>
            <w:r>
              <w:rPr>
                <w:color w:val="1F1F1F"/>
                <w:sz w:val="18"/>
                <w:szCs w:val="18"/>
                <w:shd w:val="clear" w:color="auto" w:fill="FFFFFF"/>
              </w:rPr>
              <w:t>.</w:t>
            </w:r>
          </w:p>
          <w:p w14:paraId="1E51EA4A" w14:textId="6B1A693B" w:rsidR="00454D08" w:rsidRPr="00454D08" w:rsidRDefault="00454D08" w:rsidP="00A16407">
            <w:pPr>
              <w:rPr>
                <w:sz w:val="18"/>
                <w:szCs w:val="18"/>
              </w:rPr>
            </w:pPr>
            <w:r w:rsidRPr="00454D08">
              <w:rPr>
                <w:rFonts w:cs="Calibri"/>
                <w:color w:val="000000"/>
                <w:sz w:val="18"/>
                <w:szCs w:val="18"/>
              </w:rPr>
              <w:t xml:space="preserve">Spearheaded the development and launch of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two </w:t>
            </w:r>
            <w:r w:rsidRPr="00454D08">
              <w:rPr>
                <w:rFonts w:cs="Calibri"/>
                <w:color w:val="000000"/>
                <w:sz w:val="18"/>
                <w:szCs w:val="18"/>
              </w:rPr>
              <w:t>online degree programs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(an MSL in labor and employment law, and an online LL.M)</w:t>
            </w:r>
            <w:r w:rsidRPr="00454D08">
              <w:rPr>
                <w:rFonts w:cs="Calibri"/>
                <w:color w:val="000000"/>
                <w:sz w:val="18"/>
                <w:szCs w:val="18"/>
              </w:rPr>
              <w:t>, expanding access to legal education for working professionals and nontraditional students.</w:t>
            </w:r>
            <w:r w:rsidRPr="00454D08">
              <w:rPr>
                <w:rStyle w:val="apple-converted-space"/>
                <w:rFonts w:cs="Calibri"/>
                <w:color w:val="000000"/>
                <w:sz w:val="18"/>
                <w:szCs w:val="18"/>
              </w:rPr>
              <w:t> </w:t>
            </w:r>
          </w:p>
        </w:tc>
      </w:tr>
      <w:tr w:rsidR="00A16407" w14:paraId="2BCA13BD" w14:textId="77777777">
        <w:tc>
          <w:tcPr>
            <w:tcW w:w="12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60507F" w14:textId="62A7D22C" w:rsidR="00A16407" w:rsidRDefault="00A16407" w:rsidP="00A16407">
            <w:r w:rsidRPr="001C4B35">
              <w:rPr>
                <w:b/>
                <w:bCs/>
                <w:color w:val="1F4E79"/>
                <w:sz w:val="18"/>
                <w:szCs w:val="18"/>
              </w:rPr>
              <w:t>Organizational culture</w:t>
            </w:r>
          </w:p>
        </w:tc>
        <w:tc>
          <w:tcPr>
            <w:tcW w:w="38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FD0588" w14:textId="63314160" w:rsidR="00A16407" w:rsidRDefault="00A16407" w:rsidP="00A16407">
            <w:r>
              <w:rPr>
                <w:sz w:val="18"/>
                <w:szCs w:val="18"/>
              </w:rPr>
              <w:t xml:space="preserve">Created Cardozo’s Office of Community and Professional Development, Diversity &amp; Inclusion, expanded the Office for Academic Success, and established an Associate Dean of Equity in Curriculum and Teaching to strengthen </w:t>
            </w:r>
            <w:r w:rsidRPr="006C7B8A">
              <w:rPr>
                <w:sz w:val="18"/>
                <w:szCs w:val="18"/>
              </w:rPr>
              <w:t>institutional culture, inclusive excellence, academic support</w:t>
            </w:r>
            <w:r>
              <w:rPr>
                <w:sz w:val="18"/>
                <w:szCs w:val="18"/>
              </w:rPr>
              <w:t xml:space="preserve">, and </w:t>
            </w:r>
            <w:r w:rsidRPr="006C7B8A">
              <w:rPr>
                <w:sz w:val="18"/>
                <w:szCs w:val="18"/>
              </w:rPr>
              <w:t>professional readiness</w:t>
            </w:r>
            <w:r>
              <w:rPr>
                <w:sz w:val="18"/>
                <w:szCs w:val="18"/>
              </w:rPr>
              <w:t>.</w:t>
            </w:r>
          </w:p>
        </w:tc>
      </w:tr>
      <w:tr w:rsidR="00A16407" w14:paraId="606D051C" w14:textId="77777777">
        <w:tc>
          <w:tcPr>
            <w:tcW w:w="12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26411A1" w14:textId="66C8D97A" w:rsidR="00A16407" w:rsidRDefault="00A16407" w:rsidP="00A16407">
            <w:r>
              <w:rPr>
                <w:b/>
                <w:bCs/>
                <w:color w:val="1F4E79"/>
                <w:sz w:val="18"/>
                <w:szCs w:val="18"/>
              </w:rPr>
              <w:t xml:space="preserve">Faculty </w:t>
            </w:r>
            <w:r w:rsidRPr="00C959B7">
              <w:rPr>
                <w:b/>
                <w:bCs/>
                <w:color w:val="1F4E79"/>
                <w:sz w:val="18"/>
                <w:szCs w:val="18"/>
              </w:rPr>
              <w:t xml:space="preserve">talent and academic </w:t>
            </w:r>
            <w:r>
              <w:rPr>
                <w:b/>
                <w:bCs/>
                <w:color w:val="1F4E79"/>
                <w:sz w:val="18"/>
                <w:szCs w:val="18"/>
              </w:rPr>
              <w:t>excellence</w:t>
            </w:r>
          </w:p>
        </w:tc>
        <w:tc>
          <w:tcPr>
            <w:tcW w:w="38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050A67" w14:textId="306884C9" w:rsidR="00A16407" w:rsidRDefault="00A16407" w:rsidP="00A16407">
            <w:r>
              <w:rPr>
                <w:sz w:val="18"/>
                <w:szCs w:val="18"/>
              </w:rPr>
              <w:t>Directs faculty recruitment, appointments, promotion, tenure, development, and retention</w:t>
            </w:r>
            <w:r w:rsidRPr="00766BDE">
              <w:rPr>
                <w:sz w:val="18"/>
                <w:szCs w:val="18"/>
              </w:rPr>
              <w:t>, strengthening the school’s academic distinction and long-term talent pipeline</w:t>
            </w:r>
          </w:p>
        </w:tc>
      </w:tr>
      <w:tr w:rsidR="00A16407" w14:paraId="7FC87646" w14:textId="77777777" w:rsidTr="00805646">
        <w:tc>
          <w:tcPr>
            <w:tcW w:w="1200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169DF09" w14:textId="665B2BA0" w:rsidR="00A16407" w:rsidRPr="001069DB" w:rsidRDefault="001069DB" w:rsidP="00A16407">
            <w:pPr>
              <w:rPr>
                <w:b/>
                <w:bCs/>
              </w:rPr>
            </w:pPr>
            <w:r w:rsidRPr="00CA5AB2">
              <w:rPr>
                <w:b/>
                <w:bCs/>
                <w:color w:val="244061" w:themeColor="accent1" w:themeShade="80"/>
                <w:sz w:val="18"/>
                <w:szCs w:val="18"/>
              </w:rPr>
              <w:t>Accreditation</w:t>
            </w:r>
            <w:r w:rsidRPr="00CA5AB2">
              <w:rPr>
                <w:b/>
                <w:bCs/>
                <w:color w:val="244061" w:themeColor="accent1" w:themeShade="80"/>
              </w:rPr>
              <w:t xml:space="preserve"> </w:t>
            </w:r>
          </w:p>
        </w:tc>
        <w:tc>
          <w:tcPr>
            <w:tcW w:w="3800" w:type="pct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9E2A45" w14:textId="6DABDF69" w:rsidR="00A16407" w:rsidRPr="00CA5AB2" w:rsidRDefault="001069DB" w:rsidP="00A16407">
            <w:pPr>
              <w:rPr>
                <w:sz w:val="18"/>
                <w:szCs w:val="18"/>
              </w:rPr>
            </w:pPr>
            <w:r w:rsidRPr="00CA5AB2">
              <w:rPr>
                <w:sz w:val="18"/>
                <w:szCs w:val="18"/>
              </w:rPr>
              <w:t>Hold</w:t>
            </w:r>
            <w:r w:rsidR="00454D08">
              <w:rPr>
                <w:sz w:val="18"/>
                <w:szCs w:val="18"/>
              </w:rPr>
              <w:t xml:space="preserve">s </w:t>
            </w:r>
            <w:r w:rsidRPr="00CA5AB2">
              <w:rPr>
                <w:sz w:val="18"/>
                <w:szCs w:val="18"/>
              </w:rPr>
              <w:t>primary responsibility for maintaining compliance with regulations, including those issued by the ABA Council, the New York Department of Education and the New York Court of Appeals.</w:t>
            </w:r>
          </w:p>
        </w:tc>
      </w:tr>
      <w:tr w:rsidR="00A16407" w14:paraId="1881B321" w14:textId="77777777">
        <w:tc>
          <w:tcPr>
            <w:tcW w:w="12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6E5A22" w14:textId="6B244CDF" w:rsidR="00A16407" w:rsidRDefault="00A16407" w:rsidP="00A16407">
            <w:r>
              <w:rPr>
                <w:b/>
                <w:bCs/>
                <w:color w:val="1F4E79"/>
                <w:sz w:val="18"/>
                <w:szCs w:val="18"/>
              </w:rPr>
              <w:lastRenderedPageBreak/>
              <w:t xml:space="preserve">Crisis </w:t>
            </w:r>
            <w:r w:rsidRPr="009A69A9">
              <w:rPr>
                <w:b/>
                <w:bCs/>
                <w:color w:val="1F4E79"/>
                <w:sz w:val="18"/>
                <w:szCs w:val="18"/>
              </w:rPr>
              <w:t>management</w:t>
            </w:r>
            <w:r>
              <w:rPr>
                <w:b/>
                <w:bCs/>
                <w:color w:val="1F4E79"/>
                <w:sz w:val="18"/>
                <w:szCs w:val="18"/>
              </w:rPr>
              <w:t xml:space="preserve"> and </w:t>
            </w:r>
            <w:r w:rsidRPr="009A69A9">
              <w:rPr>
                <w:b/>
                <w:bCs/>
                <w:color w:val="1F4E79"/>
                <w:sz w:val="18"/>
                <w:szCs w:val="18"/>
              </w:rPr>
              <w:t>continuity</w:t>
            </w:r>
          </w:p>
        </w:tc>
        <w:tc>
          <w:tcPr>
            <w:tcW w:w="3800" w:type="pct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84AA2F" w14:textId="75A6C2DE" w:rsidR="00A16407" w:rsidRDefault="00A16407" w:rsidP="00A16407">
            <w:r>
              <w:rPr>
                <w:sz w:val="18"/>
                <w:szCs w:val="18"/>
              </w:rPr>
              <w:t>Led the school through the COVID-19 pandemic while maintaining academic continuity, student support, operational stability, and institutional momentum.</w:t>
            </w:r>
            <w:r w:rsidR="00454D08">
              <w:rPr>
                <w:sz w:val="18"/>
                <w:szCs w:val="18"/>
              </w:rPr>
              <w:t xml:space="preserve"> </w:t>
            </w:r>
          </w:p>
        </w:tc>
      </w:tr>
    </w:tbl>
    <w:p w14:paraId="2C40B3E5" w14:textId="77777777" w:rsidR="00EF0FA5" w:rsidRPr="00805646" w:rsidRDefault="00EF0FA5" w:rsidP="00805646"/>
    <w:p w14:paraId="30E9EB54" w14:textId="77777777" w:rsidR="00E3031F" w:rsidRDefault="00E3031F" w:rsidP="004B21F5">
      <w:pPr>
        <w:pStyle w:val="Heading1"/>
      </w:pPr>
    </w:p>
    <w:p w14:paraId="6F776FF1" w14:textId="3FA806A1" w:rsidR="0005223D" w:rsidRDefault="004B21F5" w:rsidP="004B21F5">
      <w:pPr>
        <w:pStyle w:val="Heading1"/>
      </w:pPr>
      <w:r w:rsidRPr="004B21F5">
        <w:t>Academic Appointments</w:t>
      </w:r>
    </w:p>
    <w:p w14:paraId="432A1B4D" w14:textId="77777777" w:rsidR="0005223D" w:rsidRDefault="007801BF">
      <w:pPr>
        <w:pStyle w:val="Heading2"/>
      </w:pPr>
      <w:r>
        <w:t>Benjamin N. Cardozo School of Law, Yeshiva University | New York, NY</w:t>
      </w:r>
    </w:p>
    <w:p w14:paraId="41661E82" w14:textId="77777777" w:rsidR="0005223D" w:rsidRDefault="007801BF">
      <w:pPr>
        <w:ind w:left="259" w:hanging="259"/>
      </w:pPr>
      <w:r>
        <w:rPr>
          <w:b/>
        </w:rPr>
        <w:t>Dean and Dr. Samuel Belkin Professor of Law</w:t>
      </w:r>
      <w:r>
        <w:t xml:space="preserve"> | 2015-Present</w:t>
      </w:r>
    </w:p>
    <w:p w14:paraId="05AD2A49" w14:textId="77777777" w:rsidR="0005223D" w:rsidRDefault="007801BF">
      <w:pPr>
        <w:ind w:left="259" w:hanging="259"/>
      </w:pPr>
      <w:r>
        <w:rPr>
          <w:b/>
        </w:rPr>
        <w:t>Vice Dean</w:t>
      </w:r>
      <w:r>
        <w:t xml:space="preserve"> | 2014-2015</w:t>
      </w:r>
    </w:p>
    <w:p w14:paraId="5F3BE9D1" w14:textId="77777777" w:rsidR="0005223D" w:rsidRDefault="007801BF">
      <w:pPr>
        <w:ind w:left="259" w:hanging="259"/>
      </w:pPr>
      <w:r>
        <w:rPr>
          <w:b/>
        </w:rPr>
        <w:t>Professor of Law</w:t>
      </w:r>
      <w:r>
        <w:t xml:space="preserve"> | 2002-Present</w:t>
      </w:r>
    </w:p>
    <w:p w14:paraId="1885D2B7" w14:textId="77777777" w:rsidR="0005223D" w:rsidRDefault="007801BF">
      <w:pPr>
        <w:ind w:left="259" w:hanging="259"/>
      </w:pPr>
      <w:r>
        <w:rPr>
          <w:b/>
        </w:rPr>
        <w:t>Associate Professor of Law</w:t>
      </w:r>
      <w:r>
        <w:t xml:space="preserve"> | 1999-2002</w:t>
      </w:r>
    </w:p>
    <w:p w14:paraId="60F17D83" w14:textId="77777777" w:rsidR="0005223D" w:rsidRDefault="007801BF">
      <w:pPr>
        <w:ind w:left="259" w:hanging="259"/>
      </w:pPr>
      <w:r>
        <w:rPr>
          <w:b/>
        </w:rPr>
        <w:t>Assistant Professor of Law</w:t>
      </w:r>
      <w:r>
        <w:t xml:space="preserve"> | 1996-1999</w:t>
      </w:r>
    </w:p>
    <w:p w14:paraId="2B68EBEC" w14:textId="77777777" w:rsidR="0005223D" w:rsidRDefault="007801BF">
      <w:pPr>
        <w:ind w:left="259" w:hanging="259"/>
      </w:pPr>
      <w:r>
        <w:rPr>
          <w:b/>
        </w:rPr>
        <w:t>Visiting Assistant Professor of Law</w:t>
      </w:r>
      <w:r>
        <w:t xml:space="preserve"> | 1995-1996</w:t>
      </w:r>
    </w:p>
    <w:p w14:paraId="732F94B3" w14:textId="77777777" w:rsidR="0005223D" w:rsidRDefault="007801BF">
      <w:pPr>
        <w:ind w:left="259" w:hanging="259"/>
      </w:pPr>
      <w:r>
        <w:rPr>
          <w:b/>
        </w:rPr>
        <w:t>Adjunct Professor</w:t>
      </w:r>
      <w:r>
        <w:t xml:space="preserve"> | Spring 1995</w:t>
      </w:r>
    </w:p>
    <w:p w14:paraId="1059EFB1" w14:textId="77777777" w:rsidR="00454D08" w:rsidRDefault="00454D08">
      <w:pPr>
        <w:pStyle w:val="Heading2"/>
      </w:pPr>
    </w:p>
    <w:p w14:paraId="03687A50" w14:textId="198EA4EE" w:rsidR="0005223D" w:rsidRDefault="007801BF">
      <w:pPr>
        <w:pStyle w:val="Heading2"/>
      </w:pPr>
      <w:r>
        <w:t>New York University School of Law | New York, NY</w:t>
      </w:r>
    </w:p>
    <w:p w14:paraId="5A28F619" w14:textId="2C13301F" w:rsidR="0005223D" w:rsidRDefault="007801BF">
      <w:pPr>
        <w:ind w:left="259" w:hanging="259"/>
      </w:pPr>
      <w:r>
        <w:rPr>
          <w:b/>
        </w:rPr>
        <w:t>Academic Adjunct Professor, Trusts &amp; Estates and Property</w:t>
      </w:r>
      <w:r>
        <w:t xml:space="preserve"> | 2004</w:t>
      </w:r>
      <w:r w:rsidR="00EF0FA5">
        <w:t xml:space="preserve">, </w:t>
      </w:r>
      <w:r>
        <w:t>2005, 2008, 2010-2014</w:t>
      </w:r>
    </w:p>
    <w:p w14:paraId="70760F45" w14:textId="77777777" w:rsidR="0005223D" w:rsidRDefault="007801BF">
      <w:pPr>
        <w:ind w:left="259" w:hanging="259"/>
      </w:pPr>
      <w:r>
        <w:rPr>
          <w:b/>
        </w:rPr>
        <w:t>Visiting Associate Professor of Law</w:t>
      </w:r>
      <w:r>
        <w:t xml:space="preserve"> | Spring 2001</w:t>
      </w:r>
    </w:p>
    <w:p w14:paraId="59E14997" w14:textId="77777777" w:rsidR="00454D08" w:rsidRDefault="00454D08">
      <w:pPr>
        <w:pStyle w:val="Heading2"/>
      </w:pPr>
    </w:p>
    <w:p w14:paraId="7C34C35F" w14:textId="654D19BD" w:rsidR="0005223D" w:rsidRDefault="007801BF">
      <w:pPr>
        <w:pStyle w:val="Heading2"/>
      </w:pPr>
      <w:r>
        <w:t>Columbia Law School | New York, NY</w:t>
      </w:r>
    </w:p>
    <w:p w14:paraId="0F3816B7" w14:textId="77777777" w:rsidR="0005223D" w:rsidRDefault="007801BF">
      <w:pPr>
        <w:ind w:left="259" w:hanging="259"/>
      </w:pPr>
      <w:r>
        <w:rPr>
          <w:b/>
        </w:rPr>
        <w:t>Visiting Professor of Law</w:t>
      </w:r>
      <w:r>
        <w:t xml:space="preserve"> | Spring 2008</w:t>
      </w:r>
    </w:p>
    <w:p w14:paraId="75CC200D" w14:textId="77777777" w:rsidR="0005223D" w:rsidRDefault="007801BF">
      <w:pPr>
        <w:ind w:left="259" w:hanging="259"/>
      </w:pPr>
      <w:r>
        <w:rPr>
          <w:b/>
        </w:rPr>
        <w:t>Academic Adjunct Professor, Trusts &amp; Estates</w:t>
      </w:r>
      <w:r>
        <w:t xml:space="preserve"> | Spring 2009</w:t>
      </w:r>
    </w:p>
    <w:p w14:paraId="21A2B958" w14:textId="77777777" w:rsidR="0005223D" w:rsidRDefault="00CF3F13" w:rsidP="00CF3F13">
      <w:pPr>
        <w:pStyle w:val="Heading1"/>
      </w:pPr>
      <w:r w:rsidRPr="00CF3F13">
        <w:t>External Leadership and Professional Service</w:t>
      </w:r>
    </w:p>
    <w:p w14:paraId="04932D9B" w14:textId="21BFA114" w:rsidR="00B62BAB" w:rsidRPr="00B62BAB" w:rsidRDefault="00B62BAB" w:rsidP="00B62BAB">
      <w:pPr>
        <w:ind w:left="317" w:hanging="173"/>
        <w:rPr>
          <w:bCs/>
        </w:rPr>
      </w:pPr>
      <w:r>
        <w:rPr>
          <w:b/>
        </w:rPr>
        <w:t xml:space="preserve">•  </w:t>
      </w:r>
      <w:r>
        <w:rPr>
          <w:bCs/>
        </w:rPr>
        <w:t xml:space="preserve"> Member, AALS Steering Committee for Law School Deans (2022-2025)</w:t>
      </w:r>
    </w:p>
    <w:p w14:paraId="4DA26873" w14:textId="4F933EA7" w:rsidR="00CB58A9" w:rsidRDefault="007801BF" w:rsidP="00B62BAB">
      <w:pPr>
        <w:ind w:left="317" w:hanging="173"/>
      </w:pPr>
      <w:r>
        <w:rPr>
          <w:b/>
        </w:rPr>
        <w:t xml:space="preserve">• </w:t>
      </w:r>
      <w:r w:rsidR="00CB58A9">
        <w:rPr>
          <w:b/>
        </w:rPr>
        <w:t xml:space="preserve"> </w:t>
      </w:r>
      <w:r w:rsidR="00CB58A9">
        <w:rPr>
          <w:bCs/>
        </w:rPr>
        <w:t xml:space="preserve"> </w:t>
      </w:r>
      <w:r>
        <w:t xml:space="preserve">AALS Section for Law School Deans, </w:t>
      </w:r>
      <w:r w:rsidR="00CB58A9">
        <w:t xml:space="preserve">Chair, </w:t>
      </w:r>
      <w:r>
        <w:t>2019-</w:t>
      </w:r>
      <w:r w:rsidR="00EF0FA5">
        <w:t>20</w:t>
      </w:r>
      <w:r w:rsidR="00CB58A9">
        <w:t>20</w:t>
      </w:r>
      <w:r>
        <w:t>; Co-Chair</w:t>
      </w:r>
    </w:p>
    <w:p w14:paraId="59EA0561" w14:textId="6E45E278" w:rsidR="00CB58A9" w:rsidRDefault="00B62BAB" w:rsidP="00B62BAB">
      <w:pPr>
        <w:ind w:left="317" w:hanging="173"/>
      </w:pPr>
      <w:r>
        <w:rPr>
          <w:b/>
        </w:rPr>
        <w:t xml:space="preserve">•  </w:t>
      </w:r>
      <w:r>
        <w:rPr>
          <w:bCs/>
        </w:rPr>
        <w:t xml:space="preserve"> </w:t>
      </w:r>
      <w:r w:rsidR="007801BF">
        <w:t xml:space="preserve">ABA Deans Workshop Planning Committee, 2019; </w:t>
      </w:r>
    </w:p>
    <w:p w14:paraId="7EF0AD29" w14:textId="13CEDA11" w:rsidR="0005223D" w:rsidRDefault="007801BF">
      <w:pPr>
        <w:ind w:left="317" w:hanging="173"/>
      </w:pPr>
      <w:r>
        <w:rPr>
          <w:b/>
        </w:rPr>
        <w:t xml:space="preserve">• </w:t>
      </w:r>
      <w:r>
        <w:t xml:space="preserve">Co-founder, Dean's Leadership Academy, an annual conference focused on developing leadership </w:t>
      </w:r>
      <w:r w:rsidR="00CB58A9">
        <w:t xml:space="preserve">skills for </w:t>
      </w:r>
      <w:r>
        <w:t>prospective law school deans.</w:t>
      </w:r>
    </w:p>
    <w:p w14:paraId="722FF627" w14:textId="77777777" w:rsidR="0005223D" w:rsidRDefault="007801BF">
      <w:pPr>
        <w:ind w:left="317" w:hanging="173"/>
      </w:pPr>
      <w:r>
        <w:rPr>
          <w:b/>
        </w:rPr>
        <w:t xml:space="preserve">• </w:t>
      </w:r>
      <w:r>
        <w:t>Legal Fellow, American College of Trust and Estate Counsel (ACTEC), admitted 2010.</w:t>
      </w:r>
    </w:p>
    <w:p w14:paraId="3503248A" w14:textId="77777777" w:rsidR="0005223D" w:rsidRDefault="007801BF">
      <w:pPr>
        <w:ind w:left="317" w:hanging="173"/>
      </w:pPr>
      <w:r>
        <w:rPr>
          <w:b/>
        </w:rPr>
        <w:t xml:space="preserve">• </w:t>
      </w:r>
      <w:r>
        <w:t>AALS Section on Trusts &amp; Estates: Past Chair, Chair, Chair-Elect/Program Chair, Treasurer, Newsletter Editor, and Executive Committee member.</w:t>
      </w:r>
    </w:p>
    <w:p w14:paraId="549D8B0A" w14:textId="77777777" w:rsidR="0005223D" w:rsidRDefault="007801BF">
      <w:pPr>
        <w:ind w:left="317" w:hanging="173"/>
      </w:pPr>
      <w:r>
        <w:rPr>
          <w:b/>
        </w:rPr>
        <w:t xml:space="preserve">• </w:t>
      </w:r>
      <w:r>
        <w:t>Executive Committee, AALS Section on Nonprofits and Philanthropy, 2013-2020.</w:t>
      </w:r>
    </w:p>
    <w:p w14:paraId="3AEBCE5B" w14:textId="77777777" w:rsidR="0005223D" w:rsidRDefault="007801BF">
      <w:pPr>
        <w:ind w:left="317" w:hanging="173"/>
      </w:pPr>
      <w:r>
        <w:rPr>
          <w:b/>
        </w:rPr>
        <w:t xml:space="preserve">• </w:t>
      </w:r>
      <w:r>
        <w:t>Member, NY State Bar and NYC Bar Joint Committee on the Uniform Trust Code; member, Association of the Bar of the City of New York Committee on Trusts, Estates &amp; Surrogate's Courts; adviser on proposed New York trusts and estates legislation.</w:t>
      </w:r>
    </w:p>
    <w:p w14:paraId="03585D18" w14:textId="77777777" w:rsidR="0005223D" w:rsidRDefault="007801BF">
      <w:pPr>
        <w:ind w:left="317" w:hanging="173"/>
      </w:pPr>
      <w:r>
        <w:rPr>
          <w:b/>
        </w:rPr>
        <w:t xml:space="preserve">• </w:t>
      </w:r>
      <w:r>
        <w:t>Planning Committee, Second Circuit Judicial Conference Program.</w:t>
      </w:r>
    </w:p>
    <w:p w14:paraId="528538DB" w14:textId="77777777" w:rsidR="0005223D" w:rsidRDefault="00000000" w:rsidP="0032539B">
      <w:pPr>
        <w:pStyle w:val="Heading1"/>
      </w:pPr>
      <w:r>
        <w:t>Institutional Governance</w:t>
      </w:r>
      <w:r w:rsidR="0032539B" w:rsidRPr="0032539B">
        <w:t xml:space="preserve"> and Academic Administration</w:t>
      </w:r>
    </w:p>
    <w:p w14:paraId="1863B298" w14:textId="77777777" w:rsidR="0005223D" w:rsidRDefault="007801BF">
      <w:pPr>
        <w:ind w:left="317" w:hanging="173"/>
      </w:pPr>
      <w:r>
        <w:rPr>
          <w:b/>
        </w:rPr>
        <w:t xml:space="preserve">• </w:t>
      </w:r>
      <w:r>
        <w:t>Vice Dean, 2014-2015.</w:t>
      </w:r>
    </w:p>
    <w:p w14:paraId="43C725BE" w14:textId="77777777" w:rsidR="0005223D" w:rsidRDefault="007801BF">
      <w:pPr>
        <w:ind w:left="317" w:hanging="173"/>
      </w:pPr>
      <w:r>
        <w:rPr>
          <w:b/>
        </w:rPr>
        <w:t xml:space="preserve">• </w:t>
      </w:r>
      <w:r>
        <w:t>Chair, ABA Reaccreditation and Site Visit Committee, 2009-2010.</w:t>
      </w:r>
    </w:p>
    <w:p w14:paraId="49FFD086" w14:textId="77777777" w:rsidR="0005223D" w:rsidRDefault="007801BF">
      <w:pPr>
        <w:ind w:left="317" w:hanging="173"/>
      </w:pPr>
      <w:r>
        <w:rPr>
          <w:b/>
        </w:rPr>
        <w:t xml:space="preserve">• </w:t>
      </w:r>
      <w:r>
        <w:t>Chair, Appointments Committee; Chair, Adjunct Appointments Committee; Chair, Academic Standards Committee.</w:t>
      </w:r>
    </w:p>
    <w:p w14:paraId="029E65EB" w14:textId="61E803A8" w:rsidR="0005223D" w:rsidRDefault="007801BF" w:rsidP="00CB58A9">
      <w:pPr>
        <w:ind w:left="317" w:hanging="173"/>
      </w:pPr>
      <w:r>
        <w:rPr>
          <w:b/>
        </w:rPr>
        <w:t xml:space="preserve">• </w:t>
      </w:r>
      <w:r>
        <w:t>Co-Director, Program in Family Law, Policy and Bioethics, 2003-2008.</w:t>
      </w:r>
    </w:p>
    <w:p w14:paraId="11B8A956" w14:textId="77777777" w:rsidR="0005223D" w:rsidRDefault="007801BF">
      <w:pPr>
        <w:ind w:left="317" w:hanging="173"/>
      </w:pPr>
      <w:r>
        <w:rPr>
          <w:b/>
        </w:rPr>
        <w:t xml:space="preserve">• </w:t>
      </w:r>
      <w:r>
        <w:t>Member of multiple academic, governance, educational policy, faculty development, standards, and judicial clerkship committees.</w:t>
      </w:r>
    </w:p>
    <w:p w14:paraId="2A77759E" w14:textId="77777777" w:rsidR="0005223D" w:rsidRDefault="00956CE1" w:rsidP="00956CE1">
      <w:pPr>
        <w:pStyle w:val="Heading1"/>
      </w:pPr>
      <w:r w:rsidRPr="00956CE1">
        <w:t xml:space="preserve">Education, </w:t>
      </w:r>
      <w:r>
        <w:t xml:space="preserve">Honors, </w:t>
      </w:r>
      <w:r w:rsidRPr="00956CE1">
        <w:t xml:space="preserve">and </w:t>
      </w:r>
      <w:r>
        <w:t>Teaching</w:t>
      </w:r>
    </w:p>
    <w:p w14:paraId="183FAA94" w14:textId="77777777" w:rsidR="0005223D" w:rsidRDefault="007801BF">
      <w:pPr>
        <w:ind w:left="317" w:hanging="173"/>
      </w:pPr>
      <w:r>
        <w:rPr>
          <w:b/>
        </w:rPr>
        <w:t xml:space="preserve">• </w:t>
      </w:r>
      <w:r>
        <w:t>Best First-Year Professor, Classes of 2006, 2002, and 2000.</w:t>
      </w:r>
    </w:p>
    <w:p w14:paraId="5D7FABA2" w14:textId="77777777" w:rsidR="0005223D" w:rsidRDefault="007801BF">
      <w:pPr>
        <w:ind w:left="317" w:hanging="173"/>
      </w:pPr>
      <w:r>
        <w:rPr>
          <w:b/>
        </w:rPr>
        <w:t xml:space="preserve">• </w:t>
      </w:r>
      <w:r>
        <w:t>Teaching areas: Trusts &amp; Estates, Property, Nonprofit Corporations/Governance, Evidence.</w:t>
      </w:r>
    </w:p>
    <w:p w14:paraId="05E844B7" w14:textId="77777777" w:rsidR="0005223D" w:rsidRDefault="007801BF">
      <w:pPr>
        <w:ind w:left="317" w:hanging="173"/>
      </w:pPr>
      <w:r>
        <w:rPr>
          <w:b/>
        </w:rPr>
        <w:lastRenderedPageBreak/>
        <w:t xml:space="preserve">• </w:t>
      </w:r>
      <w:r>
        <w:t xml:space="preserve">J.D., </w:t>
      </w:r>
      <w:r w:rsidRPr="00805646">
        <w:rPr>
          <w:i/>
          <w:iCs/>
        </w:rPr>
        <w:t>magna cum laude,</w:t>
      </w:r>
      <w:r>
        <w:t xml:space="preserve"> Benjamin N. Cardozo School of Law, 1991; Order of the Coif; Executive Editor, Cardozo Law Review; Jacob Burns Scholarship for Academic Merit; Jacob Burns Medal for Outstanding Contribution to a Law Journal.</w:t>
      </w:r>
    </w:p>
    <w:p w14:paraId="55E62D34" w14:textId="52B37A97" w:rsidR="00B62BAB" w:rsidRDefault="007801BF" w:rsidP="00454D08">
      <w:pPr>
        <w:ind w:left="317" w:hanging="173"/>
      </w:pPr>
      <w:r>
        <w:rPr>
          <w:b/>
        </w:rPr>
        <w:t xml:space="preserve">• </w:t>
      </w:r>
      <w:r>
        <w:t>B.A., Speech/Theater, University of Oregon, 1983; graduated with honors.</w:t>
      </w:r>
    </w:p>
    <w:p w14:paraId="46B0F285" w14:textId="0A0DFE6C" w:rsidR="0005223D" w:rsidRDefault="007801BF">
      <w:pPr>
        <w:pStyle w:val="Heading1"/>
      </w:pPr>
      <w:r>
        <w:t>Earlier Legal Experience</w:t>
      </w:r>
    </w:p>
    <w:p w14:paraId="0D54BFA5" w14:textId="77777777" w:rsidR="0005223D" w:rsidRDefault="007801BF">
      <w:pPr>
        <w:ind w:left="317" w:hanging="173"/>
      </w:pPr>
      <w:r>
        <w:rPr>
          <w:b/>
        </w:rPr>
        <w:t xml:space="preserve">• </w:t>
      </w:r>
      <w:r>
        <w:t>Litigation Associate, McCarter &amp; English, 1992-1995.</w:t>
      </w:r>
    </w:p>
    <w:p w14:paraId="411C6063" w14:textId="1CE13D15" w:rsidR="00CB58A9" w:rsidRDefault="007801BF">
      <w:pPr>
        <w:ind w:left="317" w:hanging="173"/>
      </w:pPr>
      <w:r>
        <w:rPr>
          <w:b/>
        </w:rPr>
        <w:t xml:space="preserve">• </w:t>
      </w:r>
      <w:r>
        <w:t>Judicial Clerk to Justice Gary S. Stein, Supreme Court of New Jersey, 1991-1992.</w:t>
      </w:r>
    </w:p>
    <w:p w14:paraId="29AAA186" w14:textId="77777777" w:rsidR="0005223D" w:rsidRDefault="0005223D" w:rsidP="00805646">
      <w:pPr>
        <w:ind w:left="317" w:hanging="173"/>
      </w:pPr>
    </w:p>
    <w:p w14:paraId="0EB14F33" w14:textId="77777777" w:rsidR="0005223D" w:rsidRDefault="007801BF">
      <w:pPr>
        <w:pStyle w:val="Title"/>
        <w:jc w:val="center"/>
      </w:pPr>
      <w:r>
        <w:t>Publications</w:t>
      </w:r>
    </w:p>
    <w:p w14:paraId="433809F4" w14:textId="77777777" w:rsidR="0005223D" w:rsidRDefault="007801BF">
      <w:pPr>
        <w:pStyle w:val="Heading1"/>
      </w:pPr>
      <w:r>
        <w:t>Books</w:t>
      </w:r>
    </w:p>
    <w:p w14:paraId="57E2B8D8" w14:textId="77777777" w:rsidR="0005223D" w:rsidRPr="00454D08" w:rsidRDefault="007801BF">
      <w:pPr>
        <w:ind w:left="360" w:hanging="360"/>
        <w:rPr>
          <w:sz w:val="18"/>
          <w:szCs w:val="18"/>
        </w:rPr>
      </w:pPr>
      <w:r w:rsidRPr="00454D08">
        <w:rPr>
          <w:sz w:val="18"/>
          <w:szCs w:val="18"/>
        </w:rPr>
        <w:t xml:space="preserve">Stewart E. Sterk, Melanie B. Leslie &amp; Joel C. </w:t>
      </w:r>
      <w:proofErr w:type="spellStart"/>
      <w:r w:rsidRPr="00454D08">
        <w:rPr>
          <w:sz w:val="18"/>
          <w:szCs w:val="18"/>
        </w:rPr>
        <w:t>Dobris</w:t>
      </w:r>
      <w:proofErr w:type="spellEnd"/>
      <w:r w:rsidRPr="00454D08">
        <w:rPr>
          <w:sz w:val="18"/>
          <w:szCs w:val="18"/>
        </w:rPr>
        <w:t>, Estates and Trusts: Cases and Materials (Foundation Press, 2d ed. 2003; 3d ed. 2007; 4th ed. 2011; 5th ed. 2016; 6th ed. 2019).</w:t>
      </w:r>
    </w:p>
    <w:p w14:paraId="2FDA2331" w14:textId="77777777" w:rsidR="0005223D" w:rsidRPr="00454D08" w:rsidRDefault="007801BF">
      <w:pPr>
        <w:ind w:left="360" w:hanging="360"/>
        <w:rPr>
          <w:sz w:val="18"/>
          <w:szCs w:val="18"/>
        </w:rPr>
      </w:pPr>
      <w:r w:rsidRPr="00454D08">
        <w:rPr>
          <w:sz w:val="18"/>
          <w:szCs w:val="18"/>
        </w:rPr>
        <w:t>Melanie B. Leslie &amp; Stewart E. Sterk, Concepts and Insights: Trusts and Estates (Foundation Press, 2006; 2d ed. 2011; 3d ed. 2016).</w:t>
      </w:r>
    </w:p>
    <w:p w14:paraId="5E84D7C8" w14:textId="77777777" w:rsidR="0005223D" w:rsidRDefault="007801BF">
      <w:pPr>
        <w:pStyle w:val="Heading1"/>
      </w:pPr>
      <w:r>
        <w:t>Scholarly Articles</w:t>
      </w:r>
    </w:p>
    <w:p w14:paraId="2956EA5A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Revisiting the Revolution: Reintegrating the Wealth Transmission System (with Stewart E. Sterk), 56 B.C. L. Rev. 61 (2015).</w:t>
      </w:r>
    </w:p>
    <w:p w14:paraId="0669383E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Is Federalization of Charity Law All Bad? What States Can Learn from the Internal Revenue Code: A Response to Professor Ascher, 67 Vanderbilt L. Rev. 1621 (2014).</w:t>
      </w:r>
    </w:p>
    <w:p w14:paraId="0D9F692F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Accidental Inheritance: Retirement Accounts and the Hidden Law of Succession (with Stewart E. Sterk), 89 N.Y.U. L. Rev. 165 (2014).</w:t>
      </w:r>
    </w:p>
    <w:p w14:paraId="3792EE91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 xml:space="preserve">The Myth Revisited: New Challenges for Testamentary Freedom, </w:t>
      </w:r>
      <w:proofErr w:type="spellStart"/>
      <w:r w:rsidRPr="00454D08">
        <w:rPr>
          <w:sz w:val="18"/>
          <w:szCs w:val="18"/>
        </w:rPr>
        <w:t>Oñati</w:t>
      </w:r>
      <w:proofErr w:type="spellEnd"/>
      <w:r w:rsidRPr="00454D08">
        <w:rPr>
          <w:sz w:val="18"/>
          <w:szCs w:val="18"/>
        </w:rPr>
        <w:t xml:space="preserve"> Socio-Legal Series (2014).</w:t>
      </w:r>
    </w:p>
    <w:p w14:paraId="1AD6F6E3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The Limits of Self-Regulation in the Charitable Sector, 2013 Utah L. Rev. 849 (2013).</w:t>
      </w:r>
    </w:p>
    <w:p w14:paraId="43CA1D82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Time to Sever the Dead Hand: Fisk University and the Cost of the Cy Pres Doctrine, 31 Cardozo Arts &amp; Ent. L.J. 1 (2012).</w:t>
      </w:r>
    </w:p>
    <w:p w14:paraId="3BDAE329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The Wisdom of Crowds? Groupthink and Nonprofit Governance, 62 Fla. L. Rev. 1179 (2010).</w:t>
      </w:r>
    </w:p>
    <w:p w14:paraId="57497B0D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Lessons From Trust Law: Reconsidering Fiduciary Duty Law for Nonprofit Corporations, 85 Chicago-Kent L. Rev. 551 (2010).</w:t>
      </w:r>
    </w:p>
    <w:p w14:paraId="390295CA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Common Law, Common Sense: Fiduciary Standards and Trustee Identity, 27 Cardozo L. Rev. 2713 (2006).</w:t>
      </w:r>
    </w:p>
    <w:p w14:paraId="333927B9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In Defense of the No Further Inquiry Rule: A Response to John Langbein, 47 Wm. &amp; Mary L. Rev. 541 (2005).</w:t>
      </w:r>
    </w:p>
    <w:p w14:paraId="32B5A6AB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Trusting Trustees: Fiduciary Duties and the Limits of Default Rules, 94 Georgetown L.J. 67 (2005).</w:t>
      </w:r>
    </w:p>
    <w:p w14:paraId="7DC7CC61" w14:textId="3871528E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Government Officials as Attorneys and Clients: Why Privilege the Privileged?</w:t>
      </w:r>
      <w:r w:rsidR="00CA5AB2" w:rsidRPr="00454D08">
        <w:rPr>
          <w:sz w:val="18"/>
          <w:szCs w:val="18"/>
        </w:rPr>
        <w:t xml:space="preserve"> </w:t>
      </w:r>
      <w:r w:rsidRPr="00454D08">
        <w:rPr>
          <w:sz w:val="18"/>
          <w:szCs w:val="18"/>
        </w:rPr>
        <w:t>77 Indiana L.J. 469 (2002).</w:t>
      </w:r>
    </w:p>
    <w:p w14:paraId="74F89268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Liability for Increased Risk of Harm: A Lawyer’s Response to Professor Shafer, 22 Cardozo L. Rev. 1835 (2001), reprinted in The Dynamics of Judicial Proof: Computation, Logic, and Common Sense (M. MacCrimmon &amp; P. Tillers eds., 2002).</w:t>
      </w:r>
    </w:p>
    <w:p w14:paraId="7F1592A5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The Costs of Confidentiality and the Purpose of Privilege, 2000 Wis. L. Rev. 31 (2000).</w:t>
      </w:r>
    </w:p>
    <w:p w14:paraId="79A7AF4F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Enforcing Family Promises: Reliance, Reciprocity and Relational Contract, 77 N.C. L. Rev. 551 (1999).</w:t>
      </w:r>
    </w:p>
    <w:p w14:paraId="30FD7524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The Myth of Testamentary Freedom, 38 Ariz. L. Rev. 235 (1996).</w:t>
      </w:r>
    </w:p>
    <w:p w14:paraId="0683C145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The Case for Abandoning the Relation-Back Doctrine in New York Trust &amp; Estate Law, 14 Cardozo L. Rev. 219 (1992) (student note).</w:t>
      </w:r>
    </w:p>
    <w:p w14:paraId="079A29B8" w14:textId="77777777" w:rsidR="0005223D" w:rsidRDefault="007801BF">
      <w:pPr>
        <w:pStyle w:val="Heading1"/>
      </w:pPr>
      <w:r>
        <w:t>Amicus Briefs and Other Publications</w:t>
      </w:r>
    </w:p>
    <w:p w14:paraId="403F2D6B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Counsel of Record, Brief Amici Curiae of Trust Law Professors in Support of Appellant, Miller v. Bank of America (filed with the New Mexico Supreme Court, Aug. 2014).</w:t>
      </w:r>
    </w:p>
    <w:p w14:paraId="52BE36D7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Counsel of Record, Brief Amici Curiae of Trust Law Professors in Support of Respondent, First American Financial Corp. v. Edwards, 132 S. Ct. 2536 (2012).</w:t>
      </w:r>
    </w:p>
    <w:p w14:paraId="664AAF31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Co-Counsel of Record, Brief Amici Curiae of Trust Law and ERISA Law Professors in Support of Respondent, MetLife v. Glenn, 128 S. Ct. 2343 (2008).</w:t>
      </w:r>
    </w:p>
    <w:p w14:paraId="5A2FE9E1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Business Imperatives and Fiduciary Duty, ALI-ABA Estate Planning Course Materials Journal (Dec. 2006).</w:t>
      </w:r>
    </w:p>
    <w:p w14:paraId="7B2C38F9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Supreme Court Addresses Notice of Foreclosure Sales, XX New York Real Estate Law Reporter, no. 8 (June 2006).</w:t>
      </w:r>
    </w:p>
    <w:p w14:paraId="6A92994C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Asset Protection Trusts, 231 New York Law Journal (Feb. 14, 2005).</w:t>
      </w:r>
    </w:p>
    <w:p w14:paraId="150FE7BB" w14:textId="2E711758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 xml:space="preserve">Co-op Sales &amp; UCC 2-718: When </w:t>
      </w:r>
      <w:r w:rsidR="00CA5AB2" w:rsidRPr="00454D08">
        <w:rPr>
          <w:sz w:val="18"/>
          <w:szCs w:val="18"/>
        </w:rPr>
        <w:t>i</w:t>
      </w:r>
      <w:r w:rsidRPr="00454D08">
        <w:rPr>
          <w:sz w:val="18"/>
          <w:szCs w:val="18"/>
        </w:rPr>
        <w:t xml:space="preserve">s a 10% Liquidated Damages Provision </w:t>
      </w:r>
      <w:proofErr w:type="gramStart"/>
      <w:r w:rsidRPr="00454D08">
        <w:rPr>
          <w:sz w:val="18"/>
          <w:szCs w:val="18"/>
        </w:rPr>
        <w:t>Reasonable?,</w:t>
      </w:r>
      <w:proofErr w:type="gramEnd"/>
      <w:r w:rsidRPr="00454D08">
        <w:rPr>
          <w:sz w:val="18"/>
          <w:szCs w:val="18"/>
        </w:rPr>
        <w:t xml:space="preserve"> XVII New York Real Estate Law Reporter, no. 2 (2002).</w:t>
      </w:r>
    </w:p>
    <w:p w14:paraId="1E39B2B9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Adverse Possession by Co-Tenants: Resolving Claims, XII New York Real Estate Law Reporter, no. 8 (1998).</w:t>
      </w:r>
    </w:p>
    <w:p w14:paraId="268A291E" w14:textId="77777777" w:rsidR="0005223D" w:rsidRDefault="007801BF">
      <w:pPr>
        <w:pStyle w:val="Heading1"/>
      </w:pPr>
      <w:r>
        <w:t>Selected Presentations and Programs</w:t>
      </w:r>
    </w:p>
    <w:p w14:paraId="1D58296F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Comment, Is Federalization of Charity Law All Bad? What States Can Learn from the Internal Revenue Code, Vanderbilt Law/ACTEC Conference on the Role of Federal Law in Private Wealth Transfer (Feb. 2014).</w:t>
      </w:r>
    </w:p>
    <w:p w14:paraId="5A3A5061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lastRenderedPageBreak/>
        <w:t>Comment, The Role of Financial Institutions in Changing Wealth-Transfer Law, Vanderbilt Law/ACTEC Conference on the Role of Federal Law in Private Wealth Transfer (Feb. 2014).</w:t>
      </w:r>
    </w:p>
    <w:p w14:paraId="0A2A76E7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 xml:space="preserve">The Myth Revisited: New Challenges to Testamentary Freedom, </w:t>
      </w:r>
      <w:proofErr w:type="spellStart"/>
      <w:r w:rsidRPr="00454D08">
        <w:rPr>
          <w:sz w:val="18"/>
          <w:szCs w:val="18"/>
        </w:rPr>
        <w:t>Oñati</w:t>
      </w:r>
      <w:proofErr w:type="spellEnd"/>
      <w:r w:rsidRPr="00454D08">
        <w:rPr>
          <w:sz w:val="18"/>
          <w:szCs w:val="18"/>
        </w:rPr>
        <w:t xml:space="preserve"> International Institute for the Sociology of Law Workshop, Bilbao, Spain (Apr. 2013).</w:t>
      </w:r>
    </w:p>
    <w:p w14:paraId="1A203158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The Limits of Self-Regulation, Perpetual Conservation Easements Conference, University of Utah S.J. Quinney College of Law (Feb. 2013).</w:t>
      </w:r>
    </w:p>
    <w:p w14:paraId="6011C400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Rethinking the Hybrid Form: Lessons from Joint Venture Law, AALS Section on Nonprofit Law and Philanthropy (Jan. 2013).</w:t>
      </w:r>
    </w:p>
    <w:p w14:paraId="24991555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Nonprofit Governance Law: Managing Conflicts of Interest, Association of Fundraising Professionals Think Tank, Orlando, Florida (Dec. 2010).</w:t>
      </w:r>
    </w:p>
    <w:p w14:paraId="1FD435D9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Groupthink and Nonprofit Governance, Florida State College of Law Faculty Workshop (Sept. 2010).</w:t>
      </w:r>
    </w:p>
    <w:p w14:paraId="2B2282C0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Reconsidering Fiduciary Duty Law for Nonprofit Corporations, ACTEC Symposium at Chicago-Kent Law School (Oct. 2009).</w:t>
      </w:r>
    </w:p>
    <w:p w14:paraId="65FECD13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New Voices in Trusts and Estates, AALS Section on Trusts and Estates annual meeting, commentator (2009).</w:t>
      </w:r>
    </w:p>
    <w:p w14:paraId="7B0E3D1F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Fiduciary Norms and the Nonprofit Corporation, St. John’s Law School Faculty Workshop (Mar. 2008).</w:t>
      </w:r>
    </w:p>
    <w:p w14:paraId="6C4BCBB0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Business Imperatives and Fiduciary Duty, ALI-ABA: Representing Estate and Trust Beneficiaries and Fiduciaries, Chicago, Illinois (July 2006).</w:t>
      </w:r>
    </w:p>
    <w:p w14:paraId="32D221D7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The Erosion of Fiduciary Norms in Trust Law, Indiana Law School faculty workshop (Nov. 2005).</w:t>
      </w:r>
    </w:p>
    <w:p w14:paraId="4268F52B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Common Law, Common Sense: Fiduciary Standards and Trustee Identity, Trust Law in the Twenty-First Century, Cardozo Law School (Sept. 2005).</w:t>
      </w:r>
    </w:p>
    <w:p w14:paraId="4F925813" w14:textId="77777777" w:rsidR="0005223D" w:rsidRPr="00454D08" w:rsidRDefault="007801BF">
      <w:pPr>
        <w:spacing w:after="40"/>
        <w:ind w:left="403" w:hanging="403"/>
        <w:rPr>
          <w:sz w:val="18"/>
          <w:szCs w:val="18"/>
        </w:rPr>
      </w:pPr>
      <w:r w:rsidRPr="00454D08">
        <w:rPr>
          <w:sz w:val="18"/>
          <w:szCs w:val="18"/>
        </w:rPr>
        <w:t>Symposium, Artificial Intelligence and Judicial Proof, Panel on Causality, Benjamin N. Cardozo School of Law (Apr. 2000).</w:t>
      </w:r>
    </w:p>
    <w:sectPr w:rsidR="0005223D" w:rsidRPr="00454D08" w:rsidSect="00034616">
      <w:footerReference w:type="default" r:id="rId8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28C662" w14:textId="77777777" w:rsidR="0005713C" w:rsidRDefault="0005713C">
      <w:pPr>
        <w:spacing w:after="0" w:line="240" w:lineRule="auto"/>
      </w:pPr>
      <w:r>
        <w:separator/>
      </w:r>
    </w:p>
  </w:endnote>
  <w:endnote w:type="continuationSeparator" w:id="0">
    <w:p w14:paraId="4DF9DA80" w14:textId="77777777" w:rsidR="0005713C" w:rsidRDefault="0005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A29918" w14:textId="44737D59" w:rsidR="0005223D" w:rsidRDefault="0005223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FB6F97" w14:textId="77777777" w:rsidR="0005713C" w:rsidRDefault="0005713C">
      <w:pPr>
        <w:spacing w:after="0" w:line="240" w:lineRule="auto"/>
      </w:pPr>
      <w:r>
        <w:separator/>
      </w:r>
    </w:p>
  </w:footnote>
  <w:footnote w:type="continuationSeparator" w:id="0">
    <w:p w14:paraId="55C0291C" w14:textId="77777777" w:rsidR="0005713C" w:rsidRDefault="00057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AC4A2D"/>
    <w:multiLevelType w:val="hybridMultilevel"/>
    <w:tmpl w:val="9C8AD47C"/>
    <w:lvl w:ilvl="0" w:tplc="04090001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0" w15:restartNumberingAfterBreak="0">
    <w:nsid w:val="73850F89"/>
    <w:multiLevelType w:val="hybridMultilevel"/>
    <w:tmpl w:val="80FA9642"/>
    <w:lvl w:ilvl="0" w:tplc="04090001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1570994853">
    <w:abstractNumId w:val="8"/>
  </w:num>
  <w:num w:numId="2" w16cid:durableId="268978151">
    <w:abstractNumId w:val="6"/>
  </w:num>
  <w:num w:numId="3" w16cid:durableId="1664047314">
    <w:abstractNumId w:val="5"/>
  </w:num>
  <w:num w:numId="4" w16cid:durableId="2035036692">
    <w:abstractNumId w:val="4"/>
  </w:num>
  <w:num w:numId="5" w16cid:durableId="1073892500">
    <w:abstractNumId w:val="7"/>
  </w:num>
  <w:num w:numId="6" w16cid:durableId="2009363387">
    <w:abstractNumId w:val="3"/>
  </w:num>
  <w:num w:numId="7" w16cid:durableId="881941433">
    <w:abstractNumId w:val="2"/>
  </w:num>
  <w:num w:numId="8" w16cid:durableId="1150750853">
    <w:abstractNumId w:val="1"/>
  </w:num>
  <w:num w:numId="9" w16cid:durableId="188882822">
    <w:abstractNumId w:val="0"/>
  </w:num>
  <w:num w:numId="10" w16cid:durableId="1703550907">
    <w:abstractNumId w:val="10"/>
  </w:num>
  <w:num w:numId="11" w16cid:durableId="9224002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249"/>
    <w:rsid w:val="00034616"/>
    <w:rsid w:val="0005223D"/>
    <w:rsid w:val="00054705"/>
    <w:rsid w:val="00056401"/>
    <w:rsid w:val="0005713C"/>
    <w:rsid w:val="0006063C"/>
    <w:rsid w:val="00090170"/>
    <w:rsid w:val="000C1A8C"/>
    <w:rsid w:val="001069DB"/>
    <w:rsid w:val="0015074B"/>
    <w:rsid w:val="001B3D35"/>
    <w:rsid w:val="001C4B35"/>
    <w:rsid w:val="002046C6"/>
    <w:rsid w:val="00227CA8"/>
    <w:rsid w:val="0029639D"/>
    <w:rsid w:val="0032539B"/>
    <w:rsid w:val="00326F90"/>
    <w:rsid w:val="003E0215"/>
    <w:rsid w:val="00454D08"/>
    <w:rsid w:val="00475DE8"/>
    <w:rsid w:val="004B21F5"/>
    <w:rsid w:val="004C6F5B"/>
    <w:rsid w:val="004E20EF"/>
    <w:rsid w:val="004E4358"/>
    <w:rsid w:val="00551602"/>
    <w:rsid w:val="005758D7"/>
    <w:rsid w:val="00594253"/>
    <w:rsid w:val="006C7B8A"/>
    <w:rsid w:val="006D4E0C"/>
    <w:rsid w:val="006F23DB"/>
    <w:rsid w:val="00766BDE"/>
    <w:rsid w:val="007801BF"/>
    <w:rsid w:val="00805646"/>
    <w:rsid w:val="00851D5F"/>
    <w:rsid w:val="00890404"/>
    <w:rsid w:val="008E4116"/>
    <w:rsid w:val="00915E6A"/>
    <w:rsid w:val="00956CE1"/>
    <w:rsid w:val="009A69A9"/>
    <w:rsid w:val="009B6BD1"/>
    <w:rsid w:val="009F325F"/>
    <w:rsid w:val="00A16407"/>
    <w:rsid w:val="00A22134"/>
    <w:rsid w:val="00AA097F"/>
    <w:rsid w:val="00AA1D8D"/>
    <w:rsid w:val="00AB00DA"/>
    <w:rsid w:val="00AD3758"/>
    <w:rsid w:val="00B12F8A"/>
    <w:rsid w:val="00B42816"/>
    <w:rsid w:val="00B47730"/>
    <w:rsid w:val="00B62BAB"/>
    <w:rsid w:val="00BF660F"/>
    <w:rsid w:val="00C63B51"/>
    <w:rsid w:val="00C73B7E"/>
    <w:rsid w:val="00C959B7"/>
    <w:rsid w:val="00CA5AB2"/>
    <w:rsid w:val="00CB0664"/>
    <w:rsid w:val="00CB58A9"/>
    <w:rsid w:val="00CF3F13"/>
    <w:rsid w:val="00D12AE1"/>
    <w:rsid w:val="00D66746"/>
    <w:rsid w:val="00D70DCF"/>
    <w:rsid w:val="00E3031F"/>
    <w:rsid w:val="00EC37CC"/>
    <w:rsid w:val="00EE67A5"/>
    <w:rsid w:val="00EF0FA5"/>
    <w:rsid w:val="00F466AA"/>
    <w:rsid w:val="00F723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0D4ABD"/>
  <w14:defaultImageDpi w14:val="300"/>
  <w15:docId w15:val="{08389ABA-0E04-4686-BCBE-5B2CCD38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ptos" w:eastAsia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/>
      <w:outlineLvl w:val="1"/>
    </w:pPr>
    <w:rPr>
      <w:rFonts w:asciiTheme="majorHAnsi" w:eastAsiaTheme="majorEastAsia" w:hAnsiTheme="majorHAnsi" w:cstheme="majorBidi"/>
      <w:b/>
      <w:bCs/>
      <w:color w:val="4F81BD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/>
      <w:outlineLvl w:val="2"/>
    </w:pPr>
    <w:rPr>
      <w:rFonts w:asciiTheme="majorHAnsi" w:eastAsiaTheme="majorEastAsia" w:hAnsiTheme="majorHAnsi" w:cstheme="majorBidi"/>
      <w:b/>
      <w:bCs/>
      <w:color w:val="59595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6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BF660F"/>
    <w:pPr>
      <w:spacing w:after="0" w:line="240" w:lineRule="auto"/>
    </w:pPr>
    <w:rPr>
      <w:rFonts w:ascii="Aptos" w:eastAsia="Aptos" w:hAnsi="Aptos"/>
      <w:sz w:val="19"/>
    </w:rPr>
  </w:style>
  <w:style w:type="character" w:customStyle="1" w:styleId="apple-converted-space">
    <w:name w:val="apple-converted-space"/>
    <w:basedOn w:val="DefaultParagraphFont"/>
    <w:rsid w:val="00454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Melanie B. Leslie - Cleaned Updated Resume/CV 2026</vt:lpstr>
    </vt:vector>
  </TitlesOfParts>
  <Manager/>
  <Company/>
  <LinksUpToDate>false</LinksUpToDate>
  <CharactersWithSpaces>11970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Melanie B. Leslie - Cleaned Updated Resume/CV 2026</dc:title>
  <dc:subject/>
  <dc:creator>Vanessa McSwain</dc:creator>
  <cp:keywords/>
  <dc:description>generated by python-docx</dc:description>
  <cp:lastModifiedBy>Melanie Leslie</cp:lastModifiedBy>
  <cp:revision>2</cp:revision>
  <dcterms:created xsi:type="dcterms:W3CDTF">2026-09-17T22:15:00Z</dcterms:created>
  <dcterms:modified xsi:type="dcterms:W3CDTF">2026-09-17T22:15:00Z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5cc670-d7c5-4a29-b4fe-6ff77de08631_Enabled">
    <vt:lpwstr>true</vt:lpwstr>
  </property>
  <property fmtid="{D5CDD505-2E9C-101B-9397-08002B2CF9AE}" pid="3" name="MSIP_Label_7d5cc670-d7c5-4a29-b4fe-6ff77de08631_SetDate">
    <vt:lpwstr>2026-07-27T14:16:16Z</vt:lpwstr>
  </property>
  <property fmtid="{D5CDD505-2E9C-101B-9397-08002B2CF9AE}" pid="4" name="MSIP_Label_7d5cc670-d7c5-4a29-b4fe-6ff77de08631_Method">
    <vt:lpwstr>Standard</vt:lpwstr>
  </property>
  <property fmtid="{D5CDD505-2E9C-101B-9397-08002B2CF9AE}" pid="5" name="MSIP_Label_7d5cc670-d7c5-4a29-b4fe-6ff77de08631_Name">
    <vt:lpwstr>Internal</vt:lpwstr>
  </property>
  <property fmtid="{D5CDD505-2E9C-101B-9397-08002B2CF9AE}" pid="6" name="MSIP_Label_7d5cc670-d7c5-4a29-b4fe-6ff77de08631_SiteId">
    <vt:lpwstr>04c70eb4-8f26-4807-9934-e02e89266ad0</vt:lpwstr>
  </property>
  <property fmtid="{D5CDD505-2E9C-101B-9397-08002B2CF9AE}" pid="7" name="MSIP_Label_7d5cc670-d7c5-4a29-b4fe-6ff77de08631_ActionId">
    <vt:lpwstr>75e15dfe-b131-464d-830f-9353229b998d</vt:lpwstr>
  </property>
  <property fmtid="{D5CDD505-2E9C-101B-9397-08002B2CF9AE}" pid="8" name="MSIP_Label_7d5cc670-d7c5-4a29-b4fe-6ff77de08631_ContentBits">
    <vt:lpwstr>0</vt:lpwstr>
  </property>
</Properties>
</file>